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A025" w14:textId="77777777" w:rsidR="00977AE6" w:rsidRDefault="00977AE6" w:rsidP="00977AE6">
      <w:pPr>
        <w:pStyle w:val="1"/>
        <w:keepNext/>
        <w:spacing w:after="160" w:line="360" w:lineRule="auto"/>
      </w:pPr>
      <w:r>
        <w:rPr>
          <w:rFonts w:ascii="Times New Roman" w:hAnsi="Times New Roman"/>
          <w:b/>
          <w:color w:val="000000"/>
          <w:sz w:val="32"/>
          <w:lang w:val="en-GB"/>
        </w:rPr>
        <w:t xml:space="preserve">Abstract </w:t>
      </w:r>
    </w:p>
    <w:p w14:paraId="064667E6" w14:textId="6F941864" w:rsidR="00977AE6" w:rsidRDefault="00977AE6" w:rsidP="00077129">
      <w:pPr>
        <w:pStyle w:val="1"/>
        <w:keepNext/>
        <w:spacing w:after="160" w:line="360" w:lineRule="auto"/>
        <w:rPr>
          <w:rFonts w:ascii="Times New Roman" w:hAnsi="Times New Roman"/>
          <w:b/>
          <w:color w:val="000000"/>
          <w:sz w:val="32"/>
          <w:lang w:val="en-GB"/>
        </w:rPr>
      </w:pPr>
      <w:r>
        <w:rPr>
          <w:rFonts w:ascii="Times New Roman" w:hAnsi="Times New Roman"/>
          <w:b/>
          <w:color w:val="000000"/>
          <w:sz w:val="32"/>
          <w:lang w:val="en-GB"/>
        </w:rPr>
        <w:t>of</w:t>
      </w:r>
    </w:p>
    <w:p w14:paraId="2FCF4BAB" w14:textId="74C9961E" w:rsidR="00977AE6" w:rsidRDefault="00977AE6" w:rsidP="00077129">
      <w:pPr>
        <w:pStyle w:val="1"/>
        <w:keepNext/>
        <w:spacing w:after="160" w:line="360" w:lineRule="auto"/>
        <w:rPr>
          <w:rFonts w:ascii="Times New Roman" w:hAnsi="Times New Roman"/>
          <w:b/>
          <w:color w:val="000000"/>
          <w:sz w:val="32"/>
          <w:lang w:val="en-GB"/>
        </w:rPr>
      </w:pPr>
      <w:r>
        <w:rPr>
          <w:rFonts w:ascii="Times New Roman" w:hAnsi="Times New Roman"/>
          <w:b/>
          <w:color w:val="000000"/>
          <w:sz w:val="32"/>
          <w:lang w:val="en-GB"/>
        </w:rPr>
        <w:t xml:space="preserve">doctoral thesis </w:t>
      </w:r>
    </w:p>
    <w:p w14:paraId="110D12DE" w14:textId="77777777" w:rsidR="00977AE6" w:rsidRPr="00977AE6" w:rsidRDefault="00977AE6" w:rsidP="00977AE6">
      <w:pPr>
        <w:pStyle w:val="1"/>
        <w:keepNext/>
        <w:spacing w:after="160" w:line="360" w:lineRule="auto"/>
        <w:rPr>
          <w:rFonts w:ascii="Times New Roman" w:hAnsi="Times New Roman"/>
          <w:b/>
          <w:color w:val="000000"/>
          <w:sz w:val="32"/>
          <w:lang w:val="en-GB"/>
        </w:rPr>
      </w:pPr>
      <w:r w:rsidRPr="00977AE6">
        <w:rPr>
          <w:rFonts w:ascii="Times New Roman" w:hAnsi="Times New Roman"/>
          <w:b/>
          <w:color w:val="000000"/>
          <w:sz w:val="32"/>
          <w:lang w:val="en-GB"/>
        </w:rPr>
        <w:t xml:space="preserve">Youth Policy in the Digital Era: From Policy Frameworks to </w:t>
      </w:r>
    </w:p>
    <w:p w14:paraId="3FE09870" w14:textId="3D99966E" w:rsidR="00977AE6" w:rsidRDefault="00977AE6" w:rsidP="00977AE6">
      <w:pPr>
        <w:pStyle w:val="1"/>
        <w:keepNext/>
        <w:spacing w:after="160" w:line="360" w:lineRule="auto"/>
        <w:rPr>
          <w:rFonts w:ascii="Times New Roman" w:hAnsi="Times New Roman"/>
          <w:b/>
          <w:color w:val="000000"/>
          <w:sz w:val="32"/>
          <w:lang w:val="en-GB"/>
        </w:rPr>
      </w:pPr>
      <w:r w:rsidRPr="00977AE6">
        <w:rPr>
          <w:rFonts w:ascii="Times New Roman" w:hAnsi="Times New Roman"/>
          <w:b/>
          <w:color w:val="000000"/>
          <w:sz w:val="32"/>
          <w:lang w:val="en-GB"/>
        </w:rPr>
        <w:t>Practice in Chinese Higher Education</w:t>
      </w:r>
    </w:p>
    <w:p w14:paraId="60873F7E" w14:textId="51F49A46" w:rsidR="00977AE6" w:rsidRDefault="00977AE6" w:rsidP="00077129">
      <w:pPr>
        <w:pStyle w:val="1"/>
        <w:keepNext/>
        <w:spacing w:after="160" w:line="360" w:lineRule="auto"/>
        <w:rPr>
          <w:rFonts w:ascii="Times New Roman" w:hAnsi="Times New Roman"/>
          <w:b/>
          <w:color w:val="000000"/>
          <w:sz w:val="32"/>
          <w:lang w:val="en-GB"/>
        </w:rPr>
      </w:pPr>
      <w:r>
        <w:rPr>
          <w:rFonts w:ascii="Times New Roman" w:hAnsi="Times New Roman"/>
          <w:b/>
          <w:color w:val="000000"/>
          <w:sz w:val="32"/>
          <w:lang w:val="en-GB"/>
        </w:rPr>
        <w:t xml:space="preserve">by </w:t>
      </w:r>
      <w:proofErr w:type="spellStart"/>
      <w:r>
        <w:rPr>
          <w:rFonts w:ascii="Times New Roman" w:hAnsi="Times New Roman"/>
          <w:b/>
          <w:color w:val="000000"/>
          <w:sz w:val="32"/>
          <w:lang w:val="en-GB"/>
        </w:rPr>
        <w:t>Zhiyin</w:t>
      </w:r>
      <w:proofErr w:type="spellEnd"/>
      <w:r>
        <w:rPr>
          <w:rFonts w:ascii="Times New Roman" w:hAnsi="Times New Roman"/>
          <w:b/>
          <w:color w:val="000000"/>
          <w:sz w:val="32"/>
          <w:lang w:val="en-GB"/>
        </w:rPr>
        <w:t xml:space="preserve"> Guo</w:t>
      </w:r>
    </w:p>
    <w:p w14:paraId="21116EB2" w14:textId="77777777" w:rsidR="00B420E5" w:rsidRDefault="00B81C46" w:rsidP="00077129">
      <w:pPr>
        <w:pStyle w:val="11"/>
        <w:keepNext/>
        <w:spacing w:before="240" w:after="160" w:line="360" w:lineRule="auto"/>
      </w:pPr>
      <w:r>
        <w:rPr>
          <w:rFonts w:ascii="Times New Roman" w:hAnsi="Times New Roman"/>
          <w:b/>
          <w:color w:val="000000"/>
          <w:sz w:val="24"/>
          <w:lang w:val="en-GB"/>
        </w:rPr>
        <w:t>Key research issue and disciplinary relevance</w:t>
      </w:r>
    </w:p>
    <w:p w14:paraId="34D0577D" w14:textId="77777777" w:rsidR="00B420E5" w:rsidRDefault="00B81C46" w:rsidP="00077129">
      <w:pPr>
        <w:widowControl/>
        <w:spacing w:after="160" w:line="360" w:lineRule="auto"/>
      </w:pPr>
      <w:r>
        <w:rPr>
          <w:rFonts w:ascii="Times New Roman" w:hAnsi="Times New Roman"/>
          <w:color w:val="000000"/>
          <w:sz w:val="24"/>
          <w:lang w:val="en-GB"/>
        </w:rPr>
        <w:t xml:space="preserve">The central objective of this dissertation is to explain how youth policy is implemented in the digital era through the interaction of institutional arrangements and student-level </w:t>
      </w:r>
      <w:proofErr w:type="spellStart"/>
      <w:r>
        <w:rPr>
          <w:rFonts w:ascii="Times New Roman" w:hAnsi="Times New Roman"/>
          <w:color w:val="000000"/>
          <w:sz w:val="24"/>
          <w:lang w:val="en-GB"/>
        </w:rPr>
        <w:t>behaviors</w:t>
      </w:r>
      <w:proofErr w:type="spellEnd"/>
      <w:r>
        <w:rPr>
          <w:rFonts w:ascii="Times New Roman" w:hAnsi="Times New Roman"/>
          <w:color w:val="000000"/>
          <w:sz w:val="24"/>
          <w:lang w:val="en-GB"/>
        </w:rPr>
        <w:t>. The study investigates how global youth policy frameworks and national policy systems shape institutional governance in universities, and how students receive, interpret, and respond to policy communication within digitally mediated environments. By focusing on Chinese higher education and the case of Zhengzhou University of Aeronautics (ZUA), it connects macro-level policy frameworks with organizational implementation processes and the everyday experiences of policy recipients.</w:t>
      </w:r>
    </w:p>
    <w:p w14:paraId="37B9326C" w14:textId="77777777" w:rsidR="00B420E5" w:rsidRDefault="00B81C46" w:rsidP="00077129">
      <w:pPr>
        <w:widowControl/>
        <w:spacing w:after="160" w:line="360" w:lineRule="auto"/>
      </w:pPr>
      <w:r>
        <w:rPr>
          <w:rFonts w:ascii="Times New Roman" w:hAnsi="Times New Roman"/>
          <w:color w:val="000000"/>
          <w:sz w:val="24"/>
          <w:lang w:val="en-GB"/>
        </w:rPr>
        <w:t>The dissertation is situated within the discipline of political science and public administration through its analysis of youth policy as a field of public governance, the institutional organization of policy implementation, coordination among public authorities, universities, and youth organizations, and the relationship between institutional arrangements and youth participation. Its use of New Institutionalism connects formal rules, organizational structures, normative expectations, and cognitive interpretations with the operation of public policy. The study contributes to discussions on policy implementation, digital governance, institutional responsiveness, and youth participation by examining how public policy objectives are translated into administrative practices and how policy recipients interpret and respond to them.</w:t>
      </w:r>
    </w:p>
    <w:p w14:paraId="56D0352C" w14:textId="77777777" w:rsidR="00B420E5" w:rsidRDefault="00B81C46" w:rsidP="00077129">
      <w:pPr>
        <w:pStyle w:val="11"/>
        <w:keepNext/>
        <w:spacing w:before="240" w:after="160" w:line="360" w:lineRule="auto"/>
      </w:pPr>
      <w:r>
        <w:rPr>
          <w:rFonts w:ascii="Times New Roman" w:hAnsi="Times New Roman"/>
          <w:b/>
          <w:color w:val="000000"/>
          <w:sz w:val="24"/>
          <w:lang w:val="en-GB"/>
        </w:rPr>
        <w:lastRenderedPageBreak/>
        <w:t>Research questions and hypotheses</w:t>
      </w:r>
    </w:p>
    <w:p w14:paraId="0C94ADF5" w14:textId="77777777" w:rsidR="00B420E5" w:rsidRDefault="00B81C46" w:rsidP="00077129">
      <w:pPr>
        <w:widowControl/>
        <w:spacing w:after="160" w:line="360" w:lineRule="auto"/>
      </w:pPr>
      <w:r>
        <w:rPr>
          <w:rFonts w:ascii="Times New Roman" w:hAnsi="Times New Roman"/>
          <w:color w:val="000000"/>
          <w:sz w:val="24"/>
          <w:lang w:val="en-GB"/>
        </w:rPr>
        <w:t>The dissertation formulates five research questions that follow the progression from macro-level policy frameworks to micro-level experiences of policy implementation.</w:t>
      </w:r>
    </w:p>
    <w:p w14:paraId="3EE242BB" w14:textId="77777777" w:rsidR="00B420E5" w:rsidRDefault="00B81C46" w:rsidP="00077129">
      <w:pPr>
        <w:widowControl/>
        <w:spacing w:after="160" w:line="360" w:lineRule="auto"/>
      </w:pPr>
      <w:r>
        <w:rPr>
          <w:rFonts w:ascii="Times New Roman" w:hAnsi="Times New Roman"/>
          <w:color w:val="000000"/>
          <w:sz w:val="24"/>
          <w:lang w:val="en-GB"/>
        </w:rPr>
        <w:t>RQ1: What are the main characteristics and development trends of youth policy in the global governance context?</w:t>
      </w:r>
    </w:p>
    <w:p w14:paraId="0926D8A7" w14:textId="77777777" w:rsidR="00B420E5" w:rsidRDefault="00B81C46" w:rsidP="00077129">
      <w:pPr>
        <w:widowControl/>
        <w:spacing w:after="160" w:line="360" w:lineRule="auto"/>
      </w:pPr>
      <w:r>
        <w:rPr>
          <w:rFonts w:ascii="Times New Roman" w:hAnsi="Times New Roman"/>
          <w:color w:val="000000"/>
          <w:sz w:val="24"/>
          <w:lang w:val="en-GB"/>
        </w:rPr>
        <w:t>RQ2: How has the youth policy system in China evolved, and what institutional features characterize its governance structure?</w:t>
      </w:r>
    </w:p>
    <w:p w14:paraId="3252348B" w14:textId="77777777" w:rsidR="00B420E5" w:rsidRDefault="00B81C46" w:rsidP="00077129">
      <w:pPr>
        <w:widowControl/>
        <w:spacing w:after="160" w:line="360" w:lineRule="auto"/>
      </w:pPr>
      <w:r>
        <w:rPr>
          <w:rFonts w:ascii="Times New Roman" w:hAnsi="Times New Roman"/>
          <w:color w:val="000000"/>
          <w:sz w:val="24"/>
          <w:lang w:val="en-GB"/>
        </w:rPr>
        <w:t>RQ3: How are youth policies implemented within Chinese universities through organizational arrangements and digital governance mechanisms?</w:t>
      </w:r>
    </w:p>
    <w:p w14:paraId="16B682FA" w14:textId="77777777" w:rsidR="00B420E5" w:rsidRDefault="00B81C46" w:rsidP="00077129">
      <w:pPr>
        <w:widowControl/>
        <w:spacing w:after="160" w:line="360" w:lineRule="auto"/>
      </w:pPr>
      <w:r>
        <w:rPr>
          <w:rFonts w:ascii="Times New Roman" w:hAnsi="Times New Roman"/>
          <w:color w:val="000000"/>
          <w:sz w:val="24"/>
          <w:lang w:val="en-GB"/>
        </w:rPr>
        <w:t>RQ4: How do students receive and interpret youth policy information within digitally mediated communication environments?</w:t>
      </w:r>
    </w:p>
    <w:p w14:paraId="72CB796C" w14:textId="77777777" w:rsidR="00B420E5" w:rsidRDefault="00B81C46" w:rsidP="00077129">
      <w:pPr>
        <w:widowControl/>
        <w:spacing w:after="160" w:line="360" w:lineRule="auto"/>
      </w:pPr>
      <w:r>
        <w:rPr>
          <w:rFonts w:ascii="Times New Roman" w:hAnsi="Times New Roman"/>
          <w:color w:val="000000"/>
          <w:sz w:val="24"/>
          <w:lang w:val="en-GB"/>
        </w:rPr>
        <w:t xml:space="preserve">RQ5: How do student </w:t>
      </w:r>
      <w:proofErr w:type="spellStart"/>
      <w:r>
        <w:rPr>
          <w:rFonts w:ascii="Times New Roman" w:hAnsi="Times New Roman"/>
          <w:color w:val="000000"/>
          <w:sz w:val="24"/>
          <w:lang w:val="en-GB"/>
        </w:rPr>
        <w:t>behaviors</w:t>
      </w:r>
      <w:proofErr w:type="spellEnd"/>
      <w:r>
        <w:rPr>
          <w:rFonts w:ascii="Times New Roman" w:hAnsi="Times New Roman"/>
          <w:color w:val="000000"/>
          <w:sz w:val="24"/>
          <w:lang w:val="en-GB"/>
        </w:rPr>
        <w:t>, peer networks, and feedback mechanisms influence the effectiveness of youth policy implementation in higher education institutions?</w:t>
      </w:r>
    </w:p>
    <w:p w14:paraId="02FE24D1" w14:textId="77777777" w:rsidR="00B420E5" w:rsidRDefault="00B81C46" w:rsidP="00077129">
      <w:pPr>
        <w:widowControl/>
        <w:spacing w:after="160" w:line="360" w:lineRule="auto"/>
      </w:pPr>
      <w:r>
        <w:rPr>
          <w:rFonts w:ascii="Times New Roman" w:hAnsi="Times New Roman"/>
          <w:color w:val="000000"/>
          <w:sz w:val="24"/>
          <w:lang w:val="en-GB"/>
        </w:rPr>
        <w:t>Based on New Institutionalism and the characteristics of digital governance environments, the dissertation proposes two research hypotheses.</w:t>
      </w:r>
    </w:p>
    <w:p w14:paraId="6AD70DB6" w14:textId="77777777" w:rsidR="00B420E5" w:rsidRDefault="00B81C46" w:rsidP="00077129">
      <w:pPr>
        <w:widowControl/>
        <w:spacing w:after="160" w:line="360" w:lineRule="auto"/>
      </w:pPr>
      <w:r>
        <w:rPr>
          <w:rFonts w:ascii="Times New Roman" w:hAnsi="Times New Roman"/>
          <w:color w:val="000000"/>
          <w:sz w:val="24"/>
          <w:lang w:val="en-GB"/>
        </w:rPr>
        <w:t>H1: Institutional arrangements and digital communication structures significantly influence how students receive and interpret youth policy information.</w:t>
      </w:r>
    </w:p>
    <w:p w14:paraId="5735EA44" w14:textId="77777777" w:rsidR="00B420E5" w:rsidRDefault="00B81C46" w:rsidP="00077129">
      <w:pPr>
        <w:widowControl/>
        <w:spacing w:after="160" w:line="360" w:lineRule="auto"/>
      </w:pPr>
      <w:r>
        <w:rPr>
          <w:rFonts w:ascii="Times New Roman" w:hAnsi="Times New Roman"/>
          <w:color w:val="000000"/>
          <w:sz w:val="24"/>
          <w:lang w:val="en-GB"/>
        </w:rPr>
        <w:t>H2: Student agency and peer network interactions mediate the outcomes of youth policy implementation within universities.</w:t>
      </w:r>
    </w:p>
    <w:p w14:paraId="4A6919E1" w14:textId="77777777" w:rsidR="00B420E5" w:rsidRDefault="00B81C46" w:rsidP="00077129">
      <w:pPr>
        <w:pStyle w:val="11"/>
        <w:keepNext/>
        <w:spacing w:before="240" w:after="160" w:line="360" w:lineRule="auto"/>
      </w:pPr>
      <w:r>
        <w:rPr>
          <w:rFonts w:ascii="Times New Roman" w:hAnsi="Times New Roman"/>
          <w:b/>
          <w:color w:val="000000"/>
          <w:sz w:val="24"/>
          <w:lang w:val="en-GB"/>
        </w:rPr>
        <w:t>State of the art</w:t>
      </w:r>
    </w:p>
    <w:p w14:paraId="3D12AB26" w14:textId="77777777" w:rsidR="00B420E5" w:rsidRDefault="00B81C46" w:rsidP="00077129">
      <w:pPr>
        <w:widowControl/>
        <w:spacing w:after="160" w:line="360" w:lineRule="auto"/>
      </w:pPr>
      <w:r>
        <w:rPr>
          <w:rFonts w:ascii="Times New Roman" w:hAnsi="Times New Roman"/>
          <w:color w:val="000000"/>
          <w:sz w:val="24"/>
          <w:lang w:val="en-GB"/>
        </w:rPr>
        <w:t xml:space="preserve">The literature review covers youth policy as a field of public governance, Chinese youth policy in the national governance context, institutional perspectives on policy implementation, digital governance and policy communication, and higher education institutions as arenas of youth policy implementation. Social investment research emphasizes long-term investment in human capital and coordinated support for youth transitions. Rights-based approaches recognize young people as rights-bearing citizens </w:t>
      </w:r>
      <w:r>
        <w:rPr>
          <w:rFonts w:ascii="Times New Roman" w:hAnsi="Times New Roman"/>
          <w:color w:val="000000"/>
          <w:sz w:val="24"/>
          <w:lang w:val="en-GB"/>
        </w:rPr>
        <w:lastRenderedPageBreak/>
        <w:t>entitled to participation, inclusion, and equal opportunities. Research on structural adjustment and globalization examines the effects of economic and social change on youth development. Studies of Chinese youth policy highlight its integration with national development strategies, the role of the Communist Youth League, and the movement toward more coordinated governance.</w:t>
      </w:r>
    </w:p>
    <w:p w14:paraId="103CA58D" w14:textId="77777777" w:rsidR="00B420E5" w:rsidRDefault="00B81C46" w:rsidP="00077129">
      <w:pPr>
        <w:widowControl/>
        <w:spacing w:after="160" w:line="360" w:lineRule="auto"/>
      </w:pPr>
      <w:r>
        <w:rPr>
          <w:rFonts w:ascii="Times New Roman" w:hAnsi="Times New Roman"/>
          <w:color w:val="000000"/>
          <w:sz w:val="24"/>
          <w:lang w:val="en-GB"/>
        </w:rPr>
        <w:t>Institutional approaches explain how formal rules, organizational structures, shared norms, and cognitive frameworks shape implementation. Research on digital governance identifies opportunities for administrative efficiency and participation, alongside information overload and fragmented attention. However, these strands of research often remain analytically separated. Studies of youth policy tend to focus on macro-level policy frameworks, research on digital governance emphasizes technological infrastructures and administrative processes, and research on youth participation often examines civic engagement without systematically connecting it to institutional policy implementation. The dissertation addresses the limited integration of policy frameworks, organizational implementation, digital communication, and the everyday experiences of young people, particularly students in higher education institutions.</w:t>
      </w:r>
    </w:p>
    <w:p w14:paraId="01A7D669" w14:textId="77777777" w:rsidR="00B420E5" w:rsidRDefault="00B81C46" w:rsidP="00077129">
      <w:pPr>
        <w:pStyle w:val="11"/>
        <w:keepNext/>
        <w:spacing w:before="240" w:after="160" w:line="360" w:lineRule="auto"/>
      </w:pPr>
      <w:r>
        <w:rPr>
          <w:rFonts w:ascii="Times New Roman" w:hAnsi="Times New Roman"/>
          <w:b/>
          <w:color w:val="000000"/>
          <w:sz w:val="24"/>
          <w:lang w:val="en-GB"/>
        </w:rPr>
        <w:t>Methodology</w:t>
      </w:r>
    </w:p>
    <w:p w14:paraId="1ED938DD" w14:textId="77777777" w:rsidR="00B420E5" w:rsidRDefault="00B81C46" w:rsidP="00077129">
      <w:pPr>
        <w:widowControl/>
        <w:spacing w:after="160" w:line="360" w:lineRule="auto"/>
      </w:pPr>
      <w:r>
        <w:rPr>
          <w:rFonts w:ascii="Times New Roman" w:hAnsi="Times New Roman"/>
          <w:color w:val="000000"/>
          <w:sz w:val="24"/>
          <w:lang w:val="en-GB"/>
        </w:rPr>
        <w:t>The dissertation adopts a mixed-method research design that combines qualitative analysis with empirical investigation. Its multi-level framework connects global policy contexts, China’s national youth policy system, university organizational arrangements, student experiences, and feedback mechanisms. New Institutionalism provides the methodological underpinning. Institutional analysis distinguishes regulative elements, including formal rules, mandates, procedures, and administrative routines; normative elements, including role expectations and organizational obligations; and cognitive elements, including stabilized understandings and routine scripts.</w:t>
      </w:r>
    </w:p>
    <w:p w14:paraId="0E672B0A" w14:textId="77777777" w:rsidR="00B420E5" w:rsidRDefault="00B81C46" w:rsidP="00077129">
      <w:pPr>
        <w:widowControl/>
        <w:spacing w:after="160" w:line="360" w:lineRule="auto"/>
      </w:pPr>
      <w:r>
        <w:rPr>
          <w:rFonts w:ascii="Times New Roman" w:hAnsi="Times New Roman"/>
          <w:color w:val="000000"/>
          <w:sz w:val="24"/>
          <w:lang w:val="en-GB"/>
        </w:rPr>
        <w:t xml:space="preserve">Five methodological components are combined: literature analysis, institutional analysis, institutional legal methods, a case study, and survey-based empirical analysis. </w:t>
      </w:r>
      <w:r>
        <w:rPr>
          <w:rFonts w:ascii="Times New Roman" w:hAnsi="Times New Roman"/>
          <w:color w:val="000000"/>
          <w:sz w:val="24"/>
          <w:lang w:val="en-GB"/>
        </w:rPr>
        <w:lastRenderedPageBreak/>
        <w:t xml:space="preserve">Literature analysis examines academic research and policy documents. Institutional analysis reconstructs governance structures, responsibilities, and coordination mechanisms. Institutional legal methods reconstruct and interpret the normative framework and relevant institutional practices, complemented by empirical and </w:t>
      </w:r>
      <w:proofErr w:type="spellStart"/>
      <w:r>
        <w:rPr>
          <w:rFonts w:ascii="Times New Roman" w:hAnsi="Times New Roman"/>
          <w:color w:val="000000"/>
          <w:sz w:val="24"/>
          <w:lang w:val="en-GB"/>
        </w:rPr>
        <w:t>behavioral</w:t>
      </w:r>
      <w:proofErr w:type="spellEnd"/>
      <w:r>
        <w:rPr>
          <w:rFonts w:ascii="Times New Roman" w:hAnsi="Times New Roman"/>
          <w:color w:val="000000"/>
          <w:sz w:val="24"/>
          <w:lang w:val="en-GB"/>
        </w:rPr>
        <w:t xml:space="preserve"> inquiry. The case study of ZUA examines how policy objectives are translated into administrative practices and digital governance systems.</w:t>
      </w:r>
    </w:p>
    <w:p w14:paraId="26EAD8D1" w14:textId="2A7F88D7" w:rsidR="00B420E5" w:rsidRDefault="00B81C46" w:rsidP="00077129">
      <w:pPr>
        <w:widowControl/>
        <w:spacing w:after="160" w:line="360" w:lineRule="auto"/>
      </w:pPr>
      <w:r>
        <w:rPr>
          <w:rFonts w:ascii="Times New Roman" w:hAnsi="Times New Roman"/>
          <w:color w:val="000000"/>
          <w:sz w:val="24"/>
          <w:lang w:val="en-GB"/>
        </w:rPr>
        <w:t xml:space="preserve">The survey was distributed through the </w:t>
      </w:r>
      <w:proofErr w:type="spellStart"/>
      <w:r>
        <w:rPr>
          <w:rFonts w:ascii="Times New Roman" w:hAnsi="Times New Roman"/>
          <w:color w:val="000000"/>
          <w:sz w:val="24"/>
          <w:lang w:val="en-GB"/>
        </w:rPr>
        <w:t>Jingdongliangyan</w:t>
      </w:r>
      <w:proofErr w:type="spellEnd"/>
      <w:r>
        <w:rPr>
          <w:rFonts w:ascii="Times New Roman" w:hAnsi="Times New Roman"/>
          <w:color w:val="000000"/>
          <w:sz w:val="24"/>
          <w:lang w:val="en-GB"/>
        </w:rPr>
        <w:t xml:space="preserve"> mini-program on WeChat, using university groups, direct sharing, and peer-to-peer forwarding. Data collection took place over five days in May 2023, and 757 valid responses were retained. As specified in the appendix, one questionnaire contained two complementary analytical dimensions administered to the same respondents: students’ reflections on digital platforms and digital participation. SPSS 26.0 was used for data processing and statistical analysis.</w:t>
      </w:r>
    </w:p>
    <w:p w14:paraId="1A8C9246" w14:textId="77777777" w:rsidR="00B420E5" w:rsidRDefault="00B81C46" w:rsidP="00077129">
      <w:pPr>
        <w:pStyle w:val="11"/>
        <w:keepNext/>
        <w:spacing w:before="240" w:after="160" w:line="360" w:lineRule="auto"/>
      </w:pPr>
      <w:r>
        <w:rPr>
          <w:rFonts w:ascii="Times New Roman" w:hAnsi="Times New Roman"/>
          <w:b/>
          <w:color w:val="000000"/>
          <w:sz w:val="24"/>
          <w:lang w:val="en-GB"/>
        </w:rPr>
        <w:t>General conclusions</w:t>
      </w:r>
    </w:p>
    <w:p w14:paraId="1DD43613" w14:textId="77777777" w:rsidR="00B420E5" w:rsidRDefault="00B81C46" w:rsidP="00077129">
      <w:pPr>
        <w:widowControl/>
        <w:spacing w:after="160" w:line="360" w:lineRule="auto"/>
      </w:pPr>
      <w:r>
        <w:rPr>
          <w:rFonts w:ascii="Times New Roman" w:hAnsi="Times New Roman"/>
          <w:color w:val="000000"/>
          <w:sz w:val="24"/>
          <w:lang w:val="en-GB"/>
        </w:rPr>
        <w:t>Youth policy is evolving toward more integrated, participatory, and digitally mediated forms of governance. China’s youth policy system combines centralized policy guidance with coordinated, multi-level institutional implementation. Universities translate national objectives into administrative practices through cooperation among administrative departments, student affairs offices, and youth organizations. Digital platforms increase the reach, efficiency, and traceability of policy communication and strengthen administrative coordination, while also embedding policy messages in information environments characterized by competing demands on students’ attention.</w:t>
      </w:r>
    </w:p>
    <w:p w14:paraId="712B404B" w14:textId="77777777" w:rsidR="00B420E5" w:rsidRDefault="00B81C46" w:rsidP="00077129">
      <w:pPr>
        <w:widowControl/>
        <w:spacing w:after="160" w:line="360" w:lineRule="auto"/>
      </w:pPr>
      <w:r>
        <w:rPr>
          <w:rFonts w:ascii="Times New Roman" w:hAnsi="Times New Roman"/>
          <w:color w:val="000000"/>
          <w:sz w:val="24"/>
          <w:lang w:val="en-GB"/>
        </w:rPr>
        <w:t xml:space="preserve">The effectiveness of implementation depends on how students receive, interpret, and prioritize policy information. Students adopt selective attention and participation strategies, including postponing responses and relying on peer explanations. Peer networks clarify requirements and coordinate participation, but also filter and reinterpret institutional messages. Digital records of task completion can therefore coexist with limited understanding or substantive engagement. Feedback channels </w:t>
      </w:r>
      <w:r>
        <w:rPr>
          <w:rFonts w:ascii="Times New Roman" w:hAnsi="Times New Roman"/>
          <w:color w:val="000000"/>
          <w:sz w:val="24"/>
          <w:lang w:val="en-GB"/>
        </w:rPr>
        <w:lastRenderedPageBreak/>
        <w:t>connect student experiences with institutional decision-making, although organizational constraints and coordination requirements limit the translation of broader concerns into changes in implementation routines.</w:t>
      </w:r>
    </w:p>
    <w:p w14:paraId="234E6716" w14:textId="77777777" w:rsidR="00B420E5" w:rsidRDefault="00B81C46" w:rsidP="00077129">
      <w:pPr>
        <w:widowControl/>
        <w:spacing w:after="160" w:line="360" w:lineRule="auto"/>
      </w:pPr>
      <w:r>
        <w:rPr>
          <w:rFonts w:ascii="Times New Roman" w:hAnsi="Times New Roman"/>
          <w:color w:val="000000"/>
          <w:sz w:val="24"/>
          <w:lang w:val="en-GB"/>
        </w:rPr>
        <w:t xml:space="preserve">The discussion of H1 links institutional arrangements and digital communication structures to students’ reception and interpretation of policy information. The discussion of H2 identifies student agency and peer-network interaction as mechanisms mediating implementation outcomes. Overall, effective implementation requires attention to both institutional delivery and students’ everyday experiences. The dissertation integrates institutional analysis with micro-level </w:t>
      </w:r>
      <w:proofErr w:type="spellStart"/>
      <w:r>
        <w:rPr>
          <w:rFonts w:ascii="Times New Roman" w:hAnsi="Times New Roman"/>
          <w:color w:val="000000"/>
          <w:sz w:val="24"/>
          <w:lang w:val="en-GB"/>
        </w:rPr>
        <w:t>behavioral</w:t>
      </w:r>
      <w:proofErr w:type="spellEnd"/>
      <w:r>
        <w:rPr>
          <w:rFonts w:ascii="Times New Roman" w:hAnsi="Times New Roman"/>
          <w:color w:val="000000"/>
          <w:sz w:val="24"/>
          <w:lang w:val="en-GB"/>
        </w:rPr>
        <w:t xml:space="preserve"> mechanisms and identifies clearer communication, recognition of peer networks, and stronger feedback channels as practical implications. Its single-university case and Chinese higher education context limit the generalizability of the findings.</w:t>
      </w:r>
    </w:p>
    <w:p w14:paraId="11D56D2B" w14:textId="77777777" w:rsidR="00B420E5" w:rsidRDefault="00B81C46" w:rsidP="00077129">
      <w:pPr>
        <w:pStyle w:val="11"/>
        <w:keepNext/>
        <w:spacing w:before="240" w:after="160" w:line="360" w:lineRule="auto"/>
      </w:pPr>
      <w:r>
        <w:rPr>
          <w:rFonts w:ascii="Times New Roman" w:hAnsi="Times New Roman"/>
          <w:b/>
          <w:color w:val="000000"/>
          <w:sz w:val="24"/>
          <w:lang w:val="en-GB"/>
        </w:rPr>
        <w:t>Chapter summaries</w:t>
      </w:r>
    </w:p>
    <w:p w14:paraId="7CB82750"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Chapter 1 establishes the conceptual, theoretical, institutional, regional, and evaluative foundations for </w:t>
      </w:r>
      <w:proofErr w:type="spellStart"/>
      <w:r>
        <w:rPr>
          <w:rFonts w:ascii="Times New Roman" w:hAnsi="Times New Roman" w:cs="Times New Roman"/>
          <w:color w:val="000000" w:themeColor="text1"/>
          <w:sz w:val="24"/>
          <w:szCs w:val="24"/>
        </w:rPr>
        <w:t>analysing</w:t>
      </w:r>
      <w:proofErr w:type="spellEnd"/>
      <w:r>
        <w:rPr>
          <w:rFonts w:ascii="Times New Roman" w:hAnsi="Times New Roman" w:cs="Times New Roman"/>
          <w:color w:val="000000" w:themeColor="text1"/>
          <w:sz w:val="24"/>
          <w:szCs w:val="24"/>
        </w:rPr>
        <w:t xml:space="preserve"> youth policy in the digital era. Youth is defined as a multidimensional and context-dependent transition rather than a category determined only by age. For international comparison, the dissertation adopts the United Nations definition of persons aged 15–24. Youth development is shaped by biological maturation, identity formation, social-role transition, cultural experience, and access to institutional resources. Although young people retain developmental plasticity, unequal access to nutrition, education, health protection, social networks, and cultural capital can reproduce structural inequality. Youth policy is therefore presented as systematic public intervention that protects and expands young people’s developmental opportunities.</w:t>
      </w:r>
    </w:p>
    <w:p w14:paraId="3FC913BC"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Youth policy is defined as a cross-sectoral framework of public interventions jointly formulated and implemented by public authorities and relevant social actors. Its purpose is to shape transitions to adulthood and improve conditions in education, employment, health, social inclusion, and civic participation. It is not treated as a single </w:t>
      </w:r>
      <w:r>
        <w:rPr>
          <w:rFonts w:ascii="Times New Roman" w:hAnsi="Times New Roman" w:cs="Times New Roman"/>
          <w:color w:val="000000" w:themeColor="text1"/>
          <w:sz w:val="24"/>
          <w:szCs w:val="24"/>
        </w:rPr>
        <w:lastRenderedPageBreak/>
        <w:t xml:space="preserve">administrative portfolio or a catalogue of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It is a governance field whose effectiveness depends on vertical coordination among national, regional, and local levels, horizontal coordination among sectors, and institutional mediation by organizations, professionals, and young people. Social investment, rights protection, and social inclusion provide complementary rationales that influence priorities, evaluation, and the position of youth within implementation.</w:t>
      </w:r>
    </w:p>
    <w:p w14:paraId="2006EDE3"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digital era is presented as a broad social transformation in which digital technologies reshape production, communication, governance, culture, and everyday life. Data have become a major resource, and networked interaction increasingly connects online and offline activity. Digitalization can improve coordination, resource allocation, service accessibility, and responsiveness, while also changing identity formation, participation, and the skills required for inclusion. Digital literacy therefore includes technical competence, information evaluation, security awareness, and responsible participation. Unequal infrastructure and access, fragmented information, privacy risks, and algorithmic environments may nevertheless deepen inequality. Higher education is especially important because it supports the transition to adulthood through professional knowledge, critical thinking, practical competence, social responsibility, and lifelong learning. It is also being transformed through online and blended learning, data-supported management, personalized teaching, and growing demand for digital and interdisciplinary abilities.</w:t>
      </w:r>
    </w:p>
    <w:p w14:paraId="44E0E818"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dissertation adopts a plural but hierarchically organized theoretical framework. New institutionalism is the principal methodological approach, complemented by social investment theory, the youth-as-rights-bearers perspective, and structural adjustment and globalization. Social investment theory interprets education, training, health, and employment support as long-term investment in human capability and resilience. The rights-based perspective treats young people as independent rights-holders and stresses rights to development, education, employment, health, culture, and participation, together with corresponding institutional responsibilities. The structural-adjustment and globalization perspective explains how industrial restructuring, technological change, international competition, non-standard employment, educational </w:t>
      </w:r>
      <w:r>
        <w:rPr>
          <w:rFonts w:ascii="Times New Roman" w:hAnsi="Times New Roman" w:cs="Times New Roman"/>
          <w:color w:val="000000" w:themeColor="text1"/>
          <w:sz w:val="24"/>
          <w:szCs w:val="24"/>
        </w:rPr>
        <w:lastRenderedPageBreak/>
        <w:t>internationalization, cultural flows, and global inequalities shape youth opportunities and risks.</w:t>
      </w:r>
    </w:p>
    <w:p w14:paraId="0334B744"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New institutionalism integrates these dimensions by examining how formal rules, informal norms, historical trajectories, cultural meanings, and legitimacy influence policy formulation, implementation, and change. Rational-choice institutionalism clarifies strategic interaction, incentives, and resource exchange. Historical institutionalism explains path dependence and the enduring effects of decisions made at critical moments. Sociological institutionalism examines how shared values, norms, symbols, and cognitive frameworks define appropriate </w:t>
      </w:r>
      <w:proofErr w:type="spellStart"/>
      <w:r>
        <w:rPr>
          <w:rFonts w:ascii="Times New Roman" w:hAnsi="Times New Roman" w:cs="Times New Roman"/>
          <w:color w:val="000000" w:themeColor="text1"/>
          <w:sz w:val="24"/>
          <w:szCs w:val="24"/>
        </w:rPr>
        <w:t>behaviour</w:t>
      </w:r>
      <w:proofErr w:type="spellEnd"/>
      <w:r>
        <w:rPr>
          <w:rFonts w:ascii="Times New Roman" w:hAnsi="Times New Roman" w:cs="Times New Roman"/>
          <w:color w:val="000000" w:themeColor="text1"/>
          <w:sz w:val="24"/>
          <w:szCs w:val="24"/>
        </w:rPr>
        <w:t xml:space="preserve"> and produce legitimacy. Youth experience is treated as a key site where institutional arrangements are interpreted and evaluated, connecting individual experience with organizational and policy change.</w:t>
      </w:r>
    </w:p>
    <w:p w14:paraId="18675750"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chapter identifies the core institutional sectors and strategic domains of youth policy. Government agencies, youth and social organizations, regional bodies, and international organizations perform interdependent functions. Governance arrangements differ across systems, ranging from networked and participatory models to decentralized, multi-level structures, while international organizations provide normative frameworks, technical assistance, evaluation, and evidence-based guidance. Four common strategic domains are identified: education and vocational training; civic and political participation; social inclusion and mental health; and digital transformation. Young people are therefore treated as both policy beneficiaries and contributors to social development, requiring coordination, participation, evidence, and feedback mechanisms.</w:t>
      </w:r>
    </w:p>
    <w:p w14:paraId="4F8D66F7"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historical discussion shows a gradual change in policy orientation. In the early globalization phase, policy increasingly framed young people as human capital and emphasized vocational education, skills certification, employment services, and alignment with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-market needs. In the later rights-and-participation phase, young people were increasingly recognized as policy subjects whose views should inform formulation, implementation, and evaluation. Consultation, youth councils, online opinion channels, and capacity building became important instruments. In the digital </w:t>
      </w:r>
      <w:r>
        <w:rPr>
          <w:rFonts w:ascii="Times New Roman" w:hAnsi="Times New Roman" w:cs="Times New Roman"/>
          <w:color w:val="000000" w:themeColor="text1"/>
          <w:sz w:val="24"/>
          <w:szCs w:val="24"/>
        </w:rPr>
        <w:lastRenderedPageBreak/>
        <w:t>era, priorities expanded to equal access, digital literacy, innovation, digital rights, and a balance between empowerment and regulation, alongside broader collaboration among public authorities, youth organizations, enterprises, and research institutions.</w:t>
      </w:r>
    </w:p>
    <w:p w14:paraId="7EB3E679"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Regional architectures reflect different political, economic, and cultural conditions. Europe combines regional strategies, national implementation, dialogue, policy learning, and multi-level coordination. Africa uses continental frameworks linking youth empowerment, human-capital development, inclusion, and regional integration. Asian cooperation emphasizes indicators, skills, exchange, and flexible coordination that respects national diversity. Latin America and the Caribbean stress youth laws, legal protection, institutionalization, and regional cooperation. Shared priorities include digital skills, artificial-intelligence learning, digital ethics, online security, reduction of digital inequality, mental-health support, social inclusion, and substantive youth participation.</w:t>
      </w:r>
    </w:p>
    <w:p w14:paraId="569D9A81"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 transformation changes both policy-making and implementation. Integrated data from education, employment, and health can support precise problem identification, resource allocation, policy simulation, and predictive analysis. Digital platforms can widen participation and provide one-stop, personalized services across temporal and spatial limits. Real-time monitoring enables implementers to detect deviations, adjust measures, and coordinate across institutions. Yet extensive data collection can reduce young people to data profiles, blur the boundary between support and surveillance, expose sensitive information, and reproduce inequality through biased algorithms. Digital youth policy therefore requires ethical standards, enforceable privacy protection, transparency, and accountability.</w:t>
      </w:r>
    </w:p>
    <w:p w14:paraId="773D2C17"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Finally, the chapter proposes a four-level framework for evaluating digital youth policy: policy foundations, implementation processes, effect outputs, and long-term impacts. Evaluation should cover infrastructure, resources, institutional collaboration, usability, service quality, youth feedback, digital literacy, employment support, participation, platform use, data security, continuing learning, reduction of the digital divide, and the digital environment. Quantitative indicators should be combined with qualitative evidence to assess outputs, fairness, user experience, rights protection, institutional </w:t>
      </w:r>
      <w:r>
        <w:rPr>
          <w:rFonts w:ascii="Times New Roman" w:hAnsi="Times New Roman" w:cs="Times New Roman"/>
          <w:color w:val="000000" w:themeColor="text1"/>
          <w:sz w:val="24"/>
          <w:szCs w:val="24"/>
        </w:rPr>
        <w:lastRenderedPageBreak/>
        <w:t>learning, and sustainability.</w:t>
      </w:r>
    </w:p>
    <w:p w14:paraId="00D15769" w14:textId="77777777" w:rsidR="0088104A" w:rsidRDefault="0088104A" w:rsidP="00077129">
      <w:pPr>
        <w:spacing w:line="360" w:lineRule="auto"/>
        <w:rPr>
          <w:rFonts w:ascii="Times New Roman" w:hAnsi="Times New Roman" w:cs="Times New Roman"/>
          <w:color w:val="000000" w:themeColor="text1"/>
          <w:sz w:val="24"/>
          <w:szCs w:val="24"/>
        </w:rPr>
      </w:pPr>
    </w:p>
    <w:p w14:paraId="7A12FDBB"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 2 examines the evolution, institutional structure, and digital transformation of youth policy in China through new institutionalism. It begins by explaining that the Chinese definition of youth is not merely demographic, but an institutional category connected to national governance, resource allocation, service provision, and development strategy. Although different organizations and policy fields have used different age boundaries, the Medium- and Long-Term Youth Development Plan (2016–2025) established 14–35 as the principal age range for national youth policy. The lower boundary corresponds to adolescence, entry into secondary education, the development of independent cognition, and organized youth participation. The upper boundary reflects the extension of education, career establishment, family formation, and social independence. The definition therefore links individual development, institutional functions, and national needs while retaining flexibility for specific purposes.</w:t>
      </w:r>
    </w:p>
    <w:p w14:paraId="459CDDAE"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chapter reconstructs Chinese youth policy in four stages. The foundational stage from 1949 to 1978 emphasized state-building, ideological orientation, and institutionalized mobilization. The Communist Youth League developed a vertically organized network linking central, local, and grassroots levels and became the principal carrier of youth work. Education policy established a state-led system, expanded access, unified curricula and textbooks, and strengthened ideological and political education. Young people were also mobilized for industrial, agricultural, and infrastructure construction through planned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 allocation, youth assault teams, organizational discipline, and incentives. Youth policy in this period primarily connected youth development and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 with national construction.</w:t>
      </w:r>
    </w:p>
    <w:p w14:paraId="2DF12D0F"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transition stage from 1979 to 2000 reflected the move toward a market-oriented economy and the growing importance of skills. Educational reform expanded vocational and technical education, adjusted curricula and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xml:space="preserve"> to </w:t>
      </w:r>
      <w:proofErr w:type="spellStart"/>
      <w:r>
        <w:rPr>
          <w:rFonts w:ascii="Times New Roman" w:hAnsi="Times New Roman" w:cs="Times New Roman"/>
          <w:color w:val="000000" w:themeColor="text1"/>
          <w:sz w:val="24"/>
          <w:szCs w:val="24"/>
        </w:rPr>
        <w:t>labour</w:t>
      </w:r>
      <w:proofErr w:type="spellEnd"/>
      <w:r>
        <w:rPr>
          <w:rFonts w:ascii="Times New Roman" w:hAnsi="Times New Roman" w:cs="Times New Roman"/>
          <w:color w:val="000000" w:themeColor="text1"/>
          <w:sz w:val="24"/>
          <w:szCs w:val="24"/>
        </w:rPr>
        <w:t xml:space="preserve">-market demand, increased practical training, promoted school–enterprise cooperation, and introduced vocational qualifications. The Communist Youth League shifted from a </w:t>
      </w:r>
      <w:r>
        <w:rPr>
          <w:rFonts w:ascii="Times New Roman" w:hAnsi="Times New Roman" w:cs="Times New Roman"/>
          <w:color w:val="000000" w:themeColor="text1"/>
          <w:sz w:val="24"/>
          <w:szCs w:val="24"/>
        </w:rPr>
        <w:lastRenderedPageBreak/>
        <w:t>predominantly mobilizational role toward a combination of mobilization and service, adding employment information, training, entrepreneurship support, internships, and research on youth needs. Its network expanded into communities, non-public enterprises, and emerging social fields. Policies also encouraged overseas study and return, while registration arrangements created controlled institutional space for youth social organizations to supplement state services.</w:t>
      </w:r>
    </w:p>
    <w:p w14:paraId="185A71EB"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systematic development stage from 2001 to 2015 involved broader coverage and gradual institutionalization, but not full integration. Youth-related objectives appeared across successive Five-Year Plans and expanded from ideological education and higher education to graduate employment, physical fitness, mental-health education, innovation, entrepreneurship, rights protection, and social participation. Multi-departmental instruments became more common, and ministries cooperated with the Communist Youth League in employment, health, volunteer service, legal protection, and crime prevention. However, coordination remained mainly issue-specific and project-based. The chapter therefore characterizes this period as limited integration under domain leadership. Local experiments demonstrated the feasibility of coordinating several policy fields within a common framework.</w:t>
      </w:r>
    </w:p>
    <w:p w14:paraId="60D0F333"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Employment policy during this period developed a service–training–support structure. Public employment services, graduate guidance, entrepreneurship loans, internships, vocational subsidies, technical-school reform, qualifications, and school–enterprise cooperation sought to reduce information asymmetry and improve school-to-work transitions. Youth health policy developed less evenly: physical health remained embedded mainly in school management and fitness promotion, mental-health policy gradually entered schools and universities but lacked stable resources and coordination, and medical insurance expanded financial protection for students. The Communist Youth League extended its presence among non-public, social, mobile, and emerging youth groups and supported rights protection through joint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service platforms, and legal arrangements, although these measures did not yet form a unified system.</w:t>
      </w:r>
    </w:p>
    <w:p w14:paraId="4B0ED986"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strategic upgrade stage beginning in 2016 was marked by systematic planning, </w:t>
      </w:r>
      <w:r>
        <w:rPr>
          <w:rFonts w:ascii="Times New Roman" w:hAnsi="Times New Roman" w:cs="Times New Roman"/>
          <w:color w:val="000000" w:themeColor="text1"/>
          <w:sz w:val="24"/>
          <w:szCs w:val="24"/>
        </w:rPr>
        <w:lastRenderedPageBreak/>
        <w:t>youth-</w:t>
      </w:r>
      <w:proofErr w:type="spellStart"/>
      <w:r>
        <w:rPr>
          <w:rFonts w:ascii="Times New Roman" w:hAnsi="Times New Roman" w:cs="Times New Roman"/>
          <w:color w:val="000000" w:themeColor="text1"/>
          <w:sz w:val="24"/>
          <w:szCs w:val="24"/>
        </w:rPr>
        <w:t>centred</w:t>
      </w:r>
      <w:proofErr w:type="spellEnd"/>
      <w:r>
        <w:rPr>
          <w:rFonts w:ascii="Times New Roman" w:hAnsi="Times New Roman" w:cs="Times New Roman"/>
          <w:color w:val="000000" w:themeColor="text1"/>
          <w:sz w:val="24"/>
          <w:szCs w:val="24"/>
        </w:rPr>
        <w:t xml:space="preserve"> governance, and closer alignment between youth development and national strategies. The Medium- and Long-Term Youth Development Plan created a top-level framework based on Party leadership, government responsibility, coordination by the Communist Youth League, and cooperation among multiple actors. It organized youth development across ten areas, linked objectives with tasks, responsible institutions, monitoring, and evaluation, and assigned responsibilities to 27 central ministries and bodies. National, provincial, municipal, and county-level planning and joint-conference mechanisms strengthened vertical implementation. Statistical indicators, periodic reporting, evaluation, field investigation, and policy adjustment created a monitoring–evaluation–adjustment cycle.</w:t>
      </w:r>
    </w:p>
    <w:p w14:paraId="13BBB609"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the local level, youth-friendly and youth-development-oriented cities became important sites of institutional innovation. Policies addressed employment, housing, public services, culture, consumption, social integration, and combined online and offline services. Youth development was also linked to rural revitalization, technological innovation, entrepreneurship, volunteering, community governance, and consultation. The Communist Youth League increasingly acted as a coordinator, connecting ministries, local governments, universities, social organizations, enterprises, financial institutions, and young people through specialized units, joint meetings, demand-collection mechanisms, and research. Public purchasing of services, entrepreneurship funds, internships, special loans, and registered youth organizations expanded resources and professional capacity.</w:t>
      </w:r>
    </w:p>
    <w:p w14:paraId="23432E45"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chapter identifies a multi-level and multi-actor institutional framework. The Communist Youth League occupies the leading coordinating position because of historical path dependence, formal authorization, organizational reach, and agenda-setting capacity. Government ministries formulate and implement sector-specific policies in education, employment, health, social security, and other fields. Social organizations and market actors participate through institutional authorization and functional complementarity. Inter-ministerial joint conferences and national-to-local coordination connect horizontal specialization with vertical implementation, while feedback, research, and data monitoring support adjustment.</w:t>
      </w:r>
    </w:p>
    <w:p w14:paraId="6352CCFA"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Digital transformation has added a new institutional layer. Integrated public-data systems, youth-oriented platforms, and grassroots digital service nodes support policy dissemination, service coordination, and two-way communication. Electronic youth services cover employment, entrepreneurship, mental health, social security, marriage-related services, skills, and everyday support, reducing time, distance, repeated documentation, and transaction costs. Data-driven policymaking integrates indicators across population, education, health, employment, and participation, supporting problem identification, targeted allocation, monitoring, and policy refinement.</w:t>
      </w:r>
    </w:p>
    <w:p w14:paraId="7A8E90B2"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chapter treats digital platforms as institutionally bounded rather than transformative in themselves. They can improve procedural efficiency, coverage, accessibility, feedback, and administrative responsiveness, but remain constrained by unequal digital skills, regional differences in infrastructure and service capacity, fragmented data-security regulation, risks to sensitive information, incomplete cross-departmental integration, and participation limited to ratings or closed questionnaires. Chinese youth policy has therefore moved from mobilization and sectoral provision toward systematic, coordinated, and increasingly digital governance, while effectiveness still depends on institutional integration, accountable data governance, substantive participation, and the conversion of youth feedback into policy adjustment.</w:t>
      </w:r>
    </w:p>
    <w:p w14:paraId="4A5202DC" w14:textId="77777777" w:rsidR="0088104A" w:rsidRDefault="0088104A" w:rsidP="00077129">
      <w:pPr>
        <w:spacing w:line="360" w:lineRule="auto"/>
        <w:rPr>
          <w:rFonts w:ascii="Times New Roman" w:hAnsi="Times New Roman" w:cs="Times New Roman"/>
          <w:color w:val="000000" w:themeColor="text1"/>
          <w:sz w:val="24"/>
          <w:szCs w:val="24"/>
        </w:rPr>
      </w:pPr>
    </w:p>
    <w:p w14:paraId="4744980D"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Chapter 3 examines how national youth-policy objectives are localized and converted into institutional practice at Zhengzhou University of Aeronautics (ZUA). The chapter moves from the macro-level frameworks discussed previously to the university level, where educational, ideological, welfare, service, and participatory functions intersect. ZUA is selected as a representative provincially administered public university with a distinctive aviation orientation. Its position outside the group of elite metropolitan universities makes it suitable for </w:t>
      </w:r>
      <w:proofErr w:type="spellStart"/>
      <w:r>
        <w:rPr>
          <w:rFonts w:ascii="Times New Roman" w:hAnsi="Times New Roman" w:cs="Times New Roman"/>
          <w:color w:val="000000" w:themeColor="text1"/>
          <w:sz w:val="24"/>
          <w:szCs w:val="24"/>
        </w:rPr>
        <w:t>analysing</w:t>
      </w:r>
      <w:proofErr w:type="spellEnd"/>
      <w:r>
        <w:rPr>
          <w:rFonts w:ascii="Times New Roman" w:hAnsi="Times New Roman" w:cs="Times New Roman"/>
          <w:color w:val="000000" w:themeColor="text1"/>
          <w:sz w:val="24"/>
          <w:szCs w:val="24"/>
        </w:rPr>
        <w:t xml:space="preserve"> how state strategies are implemented in a strategically important but more typical provincial institution. The chapter applies new institutionalism to explain the interaction of historical path dependence, strategic coordination among governmental and university actors, and cultural legitimacy generated through alignment with national development narratives.</w:t>
      </w:r>
    </w:p>
    <w:p w14:paraId="2D89F44E"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ZUA’s development is closely connected with China’s aviation industry and higher-education governance. Established in 1949, it was reorganized around aviation education in 1964, upgraded to undergraduate status in 1984, obtained bachelor’s-degree authority in 1989 and master’s-degree authority in 2013, and later became a provincial cultivation unit for doctoral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Its strategy combines service to the aerospace sector, regional development, applied talent cultivation, innovation, entrepreneurship, and international cooperation. Its aviation-</w:t>
      </w:r>
      <w:proofErr w:type="spellStart"/>
      <w:r>
        <w:rPr>
          <w:rFonts w:ascii="Times New Roman" w:hAnsi="Times New Roman" w:cs="Times New Roman"/>
          <w:color w:val="000000" w:themeColor="text1"/>
          <w:sz w:val="24"/>
          <w:szCs w:val="24"/>
        </w:rPr>
        <w:t>centred</w:t>
      </w:r>
      <w:proofErr w:type="spellEnd"/>
      <w:r>
        <w:rPr>
          <w:rFonts w:ascii="Times New Roman" w:hAnsi="Times New Roman" w:cs="Times New Roman"/>
          <w:color w:val="000000" w:themeColor="text1"/>
          <w:sz w:val="24"/>
          <w:szCs w:val="24"/>
        </w:rPr>
        <w:t xml:space="preserve"> identity reflects historical path dependence, while cooperation with governmental, aviation, and international partners illustrates strategic adaptation. Institutional recognition and national narratives reinforce organizational legitimacy.</w:t>
      </w:r>
    </w:p>
    <w:p w14:paraId="206E160D"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university’s governance framework contains 47 organizational units: 13 Party and mass organizations, 22 administrative offices, and 12 directly affiliated service units. Party and mass organizations provide political leadership, ideological guidance, supervision, student work, graduate work, security, mass participation, and Youth League organization. The Party Committee Office, Organization Department, Publicity Department, Student Affairs Department, Graduate Affairs Department, and Communist Youth League Committee form the principal political and organizational network for youth policy. Their functions connect ideological education, organizational mobilization, political participation, student welfare, campus culture, and institutional stability.</w:t>
      </w:r>
    </w:p>
    <w:p w14:paraId="3A50AFAA"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Administrative offices translate political and strategic priorities into operational </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xml:space="preserve">. Strategic units coordinate planning and legal compliance; teaching and research offices manage curricula, quality assurance, and research; student and personnel offices provide financial aid, mental-health support, employment guidance, professional development, safety, and daily management; and financial, asset, logistical, and security units provide the material basis for implementation. A distinctive feature is dual-role governance, especially the overlap between the Party Committee’s Student Affairs Department and the administrative Student Affairs Office, which keeps political guidance closely connected with service delivery. Directly affiliated information, innovation, education, library, laboratory, logistics, and research units provide specialist </w:t>
      </w:r>
      <w:r>
        <w:rPr>
          <w:rFonts w:ascii="Times New Roman" w:hAnsi="Times New Roman" w:cs="Times New Roman"/>
          <w:color w:val="000000" w:themeColor="text1"/>
          <w:sz w:val="24"/>
          <w:szCs w:val="24"/>
        </w:rPr>
        <w:lastRenderedPageBreak/>
        <w:t>support for teaching, welfare, digital infrastructure, and institutional development.</w:t>
      </w:r>
    </w:p>
    <w:p w14:paraId="446FD66A"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chapter reconstructs these units as a three-layer youth-policy implementation architecture. Party-led steering establishes objectives, ideological direction, command chains, oversight, and accountability. Administrative deployment converts priorities into standards, schedules, budgets, work packages, reporting rules, and risk controls. College-level implementation localizes university requirements through counselors, Party-administrative joint meetings, class committees, student organizations, and service routines. National and provincial instructions move vertically through the university to colleges and students, while horizontal coordination connects offices with different responsibilities. Joint meetings, shared information platforms, responsible-accountable-consulted-informed assignments, risk registers, and coordinated calendars are used to reduce fragmentation.</w:t>
      </w:r>
    </w:p>
    <w:p w14:paraId="11816931"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the college level, policy is translated rather than redefined. University documents become cohort-specific guidelines covering eligibility, materials, review, deadlines, publication, appeals, and recordkeeping. Counselors and teaching units organize intake, verification, case handling, follow-up, and escalation. Standard procedures, checklists, tracker logs, and repeated service cycles make implementation routinized and auditable. From a new-institutionalist perspective, these practices combine regulative rules, normative expectations, and cognitive scripts, stabilizing expectations and embedding compliance in everyday academic life.</w:t>
      </w:r>
    </w:p>
    <w:p w14:paraId="2CAD379F"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 platforms connect the three institutional layers. At the official broadcast level, Party and mass organizations use WeChat official accounts, the campus application, and news portals to publish authoritative information, interpret policy, promote ideological education, and mobilize participation. At the administrative-service level, specialized offices transform policy objectives into online registration, scholarship applications, psychological consultation, employment information, appointment systems, and other service processes. At the college and class level, official accounts, counselor-led groups, cohort groups, mini-</w:t>
      </w:r>
      <w:proofErr w:type="spellStart"/>
      <w:r>
        <w:rPr>
          <w:rFonts w:ascii="Times New Roman" w:hAnsi="Times New Roman" w:cs="Times New Roman"/>
          <w:color w:val="000000" w:themeColor="text1"/>
          <w:sz w:val="24"/>
          <w:szCs w:val="24"/>
        </w:rPr>
        <w:t>programmes</w:t>
      </w:r>
      <w:proofErr w:type="spellEnd"/>
      <w:r>
        <w:rPr>
          <w:rFonts w:ascii="Times New Roman" w:hAnsi="Times New Roman" w:cs="Times New Roman"/>
          <w:color w:val="000000" w:themeColor="text1"/>
          <w:sz w:val="24"/>
          <w:szCs w:val="24"/>
        </w:rPr>
        <w:t>, and activity applications provide localized communication and last-mile coordination.</w:t>
      </w:r>
    </w:p>
    <w:p w14:paraId="0C3B98CB"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command-to-implementation workflow includes four linked stages. Party and </w:t>
      </w:r>
      <w:r>
        <w:rPr>
          <w:rFonts w:ascii="Times New Roman" w:hAnsi="Times New Roman" w:cs="Times New Roman"/>
          <w:color w:val="000000" w:themeColor="text1"/>
          <w:sz w:val="24"/>
          <w:szCs w:val="24"/>
        </w:rPr>
        <w:lastRenderedPageBreak/>
        <w:t>administrative actors define objectives; these objectives are translated into digital artifacts such as policy briefs, activity pages, forms, QR check-ins, and service tickets; information is distributed through university, office, college, and class channels; and counselors, student leaders, and administrative staff monitor registration, attendance, completion, and feedback. Information therefore moves downward as directives and upward as completion records, surveys, questions, and qualitative reports. The university’s “1+8+X” platform structure and its new-media matrix support coordinated dissemination, while the Office Automation system preserves the authoritative version of documents.</w:t>
      </w:r>
    </w:p>
    <w:p w14:paraId="656168E7"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chapter also analyses guardrails and risk control. A three-review-three-proofreading procedure regulates publication accuracy, while hierarchical release rules distinguish core political documents from routine administrative information. The </w:t>
      </w:r>
      <w:proofErr w:type="spellStart"/>
      <w:r>
        <w:rPr>
          <w:rFonts w:ascii="Times New Roman" w:hAnsi="Times New Roman" w:cs="Times New Roman"/>
          <w:color w:val="000000" w:themeColor="text1"/>
          <w:sz w:val="24"/>
          <w:szCs w:val="24"/>
        </w:rPr>
        <w:t>Zhidian</w:t>
      </w:r>
      <w:proofErr w:type="spellEnd"/>
      <w:r>
        <w:rPr>
          <w:rFonts w:ascii="Times New Roman" w:hAnsi="Times New Roman" w:cs="Times New Roman"/>
          <w:color w:val="000000" w:themeColor="text1"/>
          <w:sz w:val="24"/>
          <w:szCs w:val="24"/>
        </w:rPr>
        <w:t xml:space="preserve"> Tianxia platform enables anonymous correction and requires timely response. Tiered message scheduling separates urgent notices from routine information to reduce repetition and fatigue. Data governance includes encryption, traceable access, role-based permissions, de-identification, and special protection for sensitive records. Policy ambassadors, incentives, monitoring, human review, and peer-support structures regulate peer-level dissemination and responses to misinformation.</w:t>
      </w:r>
    </w:p>
    <w:p w14:paraId="650258DB"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Measurement combines quantitative and qualitative evidence. Digital systems record coverage, open rates, reposting, timeliness, registrations, QR check-ins, service closure, learning completion, and volunteer hours, while counselors and colleges report technical difficulties, overlapping deadlines, reluctance, fatigue, interactive formats, and confidentiality concerns. Surveys, suggestion boxes, and focus groups add further feedback. Data move upward for evaluation and downward through adjusted schedules, notification frequency, and service procedures, making platforms instruments of organizational learning.</w:t>
      </w:r>
    </w:p>
    <w:p w14:paraId="2617BBD3"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final part identifies localization challenges. Campus policy communication operates within a competitive attention environment that the university cannot fully control. When external news becomes salient, students reallocate attention, raise their threshold for opening institutional messages, skim content, postpone action, or rely on </w:t>
      </w:r>
      <w:r>
        <w:rPr>
          <w:rFonts w:ascii="Times New Roman" w:hAnsi="Times New Roman" w:cs="Times New Roman"/>
          <w:color w:val="000000" w:themeColor="text1"/>
          <w:sz w:val="24"/>
          <w:szCs w:val="24"/>
        </w:rPr>
        <w:lastRenderedPageBreak/>
        <w:t>peer summaries. High message cadence can increase overload, fatigue, selective avoidance, and ritualized compliance. Peer networks can clarify instructions, mobilize participation, and support evidence-based correction, but they can also amplify low-quality information and normalize avoidance. The chapter concludes that successful localization depends not simply on increasing message volume or completion rates, but on calibrating communication intensity, strengthening source credibility and procedural fairness, protecting privacy, combining throughput indicators with evidence on trust and fatigue, and sustaining peer norms that support meaningful rather than superficial implementation.</w:t>
      </w:r>
    </w:p>
    <w:p w14:paraId="778D6790" w14:textId="77777777" w:rsidR="0088104A" w:rsidRDefault="0088104A" w:rsidP="00077129">
      <w:pPr>
        <w:spacing w:line="360" w:lineRule="auto"/>
        <w:rPr>
          <w:rFonts w:ascii="Times New Roman" w:hAnsi="Times New Roman" w:cs="Times New Roman"/>
          <w:color w:val="000000" w:themeColor="text1"/>
          <w:sz w:val="24"/>
          <w:szCs w:val="24"/>
        </w:rPr>
      </w:pPr>
    </w:p>
    <w:p w14:paraId="06CAFE52"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 4 examines youth policy implementation at Zhengzhou University of Aeronautics (ZUA) from the student level. Whereas Chapter 3 focused on organizational structures and digital delivery, this chapter analyses how institutional requirements are received, interpreted, and enacted in students’ academic and social routines. The empirical material draws on survey data collected at ZUA in May 2023 and is re-specified for the dissertation’s institutional framework. Student experience is treated as part of implementation itself, not as a separate measure of satisfaction.</w:t>
      </w:r>
    </w:p>
    <w:p w14:paraId="348B3EC5"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New Institutionalism provides the principal analytical framework. Student </w:t>
      </w:r>
      <w:proofErr w:type="spellStart"/>
      <w:r>
        <w:rPr>
          <w:rFonts w:ascii="Times New Roman" w:hAnsi="Times New Roman" w:cs="Times New Roman"/>
          <w:color w:val="000000" w:themeColor="text1"/>
          <w:sz w:val="24"/>
          <w:szCs w:val="24"/>
        </w:rPr>
        <w:t>behaviour</w:t>
      </w:r>
      <w:proofErr w:type="spellEnd"/>
      <w:r>
        <w:rPr>
          <w:rFonts w:ascii="Times New Roman" w:hAnsi="Times New Roman" w:cs="Times New Roman"/>
          <w:color w:val="000000" w:themeColor="text1"/>
          <w:sz w:val="24"/>
          <w:szCs w:val="24"/>
        </w:rPr>
        <w:t xml:space="preserve"> is interpreted through three interacting dimensions: regulative arrangements, normative expectations, and cognitive interpretations. The first includes formal rules, deadlines, platforms, reminders, and completion indicators; the second arises from peer influence, participation cultures, reputation, and shared ideas of appropriate conduct; the third concerns how students judge meaning, urgency, and relevance. Sociological institutionalism explains legitimacy and appropriateness, rational-choice institutionalism clarifies how students conserve attention and effort, and historical institutionalism shows how repeated procedures become stable routines.</w:t>
      </w:r>
    </w:p>
    <w:p w14:paraId="5CF3E122"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the regulative level, digital platforms make requirements visible, standardized, measurable, and auditable. Students learn which platforms are authoritative, which deadlines are non-negotiable, and which tasks require immediate action. These arrangements increase predictability, but compress demands from multiple offices into </w:t>
      </w:r>
      <w:r>
        <w:rPr>
          <w:rFonts w:ascii="Times New Roman" w:hAnsi="Times New Roman" w:cs="Times New Roman"/>
          <w:color w:val="000000" w:themeColor="text1"/>
          <w:sz w:val="24"/>
          <w:szCs w:val="24"/>
        </w:rPr>
        <w:lastRenderedPageBreak/>
        <w:t>limited attention space. As message volume rises, compliance becomes prioritization. Students may register, check in, submit forms, or confirm receipt without internalizing the policy purpose. Digital regulation can therefore produce formal order while leaving understanding and motivation dependent on normative and cognitive processes.</w:t>
      </w:r>
    </w:p>
    <w:p w14:paraId="1310BFD4"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Normative expectations are produced within classes, cohorts, student organizations, and online groups. Students observe how peers respond, how often reminders are repeated, and which activities are publicly valued. Prompt completion can establish a group standard, while visible delay can normalize minimal participation. Peer pressure is usually indirect, operating through reputation and alignment with collective routines.</w:t>
      </w:r>
    </w:p>
    <w:p w14:paraId="049BDFC4"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cognitive dimension concerns reception under bounded attention. Students process institutional communication alongside academic work, social interaction, and external news in the same digital environment. Notices may be opened immediately, postponed, skimmed, or ignored. Delayed opening, selective reading, reliance on peer summaries, and routine completion are normalized adaptive strategies that reduce the cognitive cost of compliance but widen the gap between completion and understanding. Students use sender, format, deadline, and evidence cues to judge credibility; clear identification and concrete instructions lower interpretation costs, whereas vague or repetitive messages are more likely to be deferred.</w:t>
      </w:r>
    </w:p>
    <w:p w14:paraId="6AE41B12"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Reception is a sequence rather than a single event. A message may originate in an official account, be amplified through WeChat class or cohort groups, and only then enter individual attention. Institutional channels establish formal authority, while peer channels often determine practical salience. Repeated circulation can improve recognition and completion but also increase pressure. High message volume, frequent pushes, temporal clustering, inconsistent information quality, and competition from external information increase cognitive load, encouraging students to scan headings, postpone messages, or rely on summaries.</w:t>
      </w:r>
    </w:p>
    <w:p w14:paraId="4BEF7C92"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Trust links exposure and action. Identifiable institutional sources are more likely to be treated as credible, but authority alone does not guarantee attention. Counselors, class advisors, student leaders, and trusted peers can confirm urgency and relevance. Concrete deadlines, clear task ownership, concise wording, and accessible authoritative </w:t>
      </w:r>
      <w:r>
        <w:rPr>
          <w:rFonts w:ascii="Times New Roman" w:hAnsi="Times New Roman" w:cs="Times New Roman"/>
          <w:color w:val="000000" w:themeColor="text1"/>
          <w:sz w:val="24"/>
          <w:szCs w:val="24"/>
        </w:rPr>
        <w:lastRenderedPageBreak/>
        <w:t>sources facilitate action. Under dense or emotionally charged information flows, students become more selective and dependent on heuristics, sometimes complying formally while withdrawing cognitively.</w:t>
      </w:r>
    </w:p>
    <w:p w14:paraId="3D8AD0C5"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Interpretation and acceptance are distinct. Students may understand a requirement without viewing the communication as useful, timely, or respectful of limited attention. Survey patterns associate push pressure, uneven information quality, and dense peer re-sharing with exhaustion and psychological reactance. Under these conditions, messages become interruptions or pressure rather than support. Selective ignoring, delayed opening, and shielding narrow interpretation, leaving communication administratively visible but motivationally weak.</w:t>
      </w:r>
    </w:p>
    <w:p w14:paraId="1177E658"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are conceptualized as institutional actors and co-producers of implementation. They interpret deadlines, platform cues, reminders, and peer commentary; prioritize tasks; and support last-mile coordination through summaries and clarification. Their agency appears as selective compliance and contextual participation. Tasks with clear deadlines, visible completion markers, and administrative consequences receive priority, while general guidance or tasks without measurable outcomes are more often postponed or handled superficially. Participation rises with perceived efficacy, credible information, peer support, and practical consequences, but declines as volume and uncertainty increase.</w:t>
      </w:r>
    </w:p>
    <w:p w14:paraId="3FCC6A1A" w14:textId="77777777" w:rsidR="0088104A" w:rsidRDefault="0088104A" w:rsidP="00077129">
      <w:pPr>
        <w:spacing w:line="360" w:lineRule="auto"/>
        <w:rPr>
          <w:rFonts w:ascii="Times New Roman" w:hAnsi="Times New Roman" w:cs="Times New Roman"/>
          <w:color w:val="000000" w:themeColor="text1"/>
          <w:sz w:val="24"/>
          <w:szCs w:val="24"/>
        </w:rPr>
      </w:pPr>
    </w:p>
    <w:p w14:paraId="200F40C3"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Formal compliance and routine completion form a central pattern. Digital systems record registrations, QR check-ins, completed learning items, and closed service requests. These indicators define the practical minimum for compliance. Under strain, students concentrate on measurable requirements and separate completion from understanding. Repetition produces a “complete first” script, while peer groups coordinate the shortest route to finishing tasks.</w:t>
      </w:r>
    </w:p>
    <w:p w14:paraId="0434401A"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Peer networks serve as informal implementation mechanisms. They filter attention, reduce procedural uncertainty, share practical instructions, and establish expectations about responsiveness. They may support mobilization, authentication, and evidence-based correction, but can also intensify reminders, amplify normative pressure, </w:t>
      </w:r>
      <w:r>
        <w:rPr>
          <w:rFonts w:ascii="Times New Roman" w:hAnsi="Times New Roman" w:cs="Times New Roman"/>
          <w:color w:val="000000" w:themeColor="text1"/>
          <w:sz w:val="24"/>
          <w:szCs w:val="24"/>
        </w:rPr>
        <w:lastRenderedPageBreak/>
        <w:t>circulate weakly sourced information, or normalize avoidance.</w:t>
      </w:r>
    </w:p>
    <w:p w14:paraId="638BCEF4"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Feedback at ZUA operates through an anonymous platform and through counselors, class advisors, and class representatives. Human intermediaries collect concerns, follow up on mandatory tasks, and translate student experience into administratively processable forms. Anonymous and identified submissions are normally answered within twenty-four hours, strengthening procedural responsiveness. However, rapid replies do not necessarily produce satisfaction, resolution, or institutional change. Concrete issues such as unclear instructions, timing conflicts, platform barriers, and repeated notices are more visible than cumulative interruption, fatigue, privacy anxiety, or declining trust.</w:t>
      </w:r>
    </w:p>
    <w:p w14:paraId="058F589C"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structural gap therefore remains between student preferences and policy adjustment. Feedback is often handled through case-based clarification and closure, while broader concerns about message cadence, overlapping tasks, repeated compliance steps, and data use are less easily converted into system-level reform. Responsiveness is constrained by reliance on traceable indicators, organizational fragmentation, cross-unit coordination costs, slower adjustment cycles, caution in sensitive fields, and the partial visibility of concerns filtered through peer networks.</w:t>
      </w:r>
    </w:p>
    <w:p w14:paraId="674716B6" w14:textId="77777777" w:rsidR="0088104A" w:rsidRDefault="0088104A" w:rsidP="0007712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conclusion presents digital youth policy implementation as a multi-stage process involving foundations, procedures, outputs, and longer-term consequences. Platform stability and access are necessary but do not guarantee usability, and completion rates may conceal divergence between formal compliance and substantive uptake. Sustainable implementation requires coherent channels, manageable communication intensity, clear credibility cues, attention to trust and fatigue, interpretation of quantitative indicators alongside student experience, and mechanisms that aggregate individual feedback into organizational learning. Student experience is therefore central to evaluating effectiveness, legitimacy, and sustainability.</w:t>
      </w:r>
    </w:p>
    <w:p w14:paraId="2515CB61" w14:textId="57052DBA" w:rsidR="0006093F" w:rsidRPr="0088104A" w:rsidRDefault="0006093F" w:rsidP="00077129">
      <w:pPr>
        <w:spacing w:line="360" w:lineRule="auto"/>
        <w:rPr>
          <w:rFonts w:ascii="Times New Roman" w:hAnsi="Times New Roman" w:cs="Times New Roman"/>
          <w:color w:val="000000" w:themeColor="text1"/>
          <w:sz w:val="24"/>
          <w:szCs w:val="24"/>
        </w:rPr>
      </w:pPr>
    </w:p>
    <w:sectPr w:rsidR="0006093F" w:rsidRPr="008810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5FDC" w14:textId="77777777" w:rsidR="0052319B" w:rsidRDefault="0052319B" w:rsidP="00DF2A09">
      <w:r>
        <w:separator/>
      </w:r>
    </w:p>
  </w:endnote>
  <w:endnote w:type="continuationSeparator" w:id="0">
    <w:p w14:paraId="3E56EF2A" w14:textId="77777777" w:rsidR="0052319B" w:rsidRDefault="0052319B" w:rsidP="00DF2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7A30C" w14:textId="77777777" w:rsidR="0052319B" w:rsidRDefault="0052319B" w:rsidP="00DF2A09">
      <w:r>
        <w:separator/>
      </w:r>
    </w:p>
  </w:footnote>
  <w:footnote w:type="continuationSeparator" w:id="0">
    <w:p w14:paraId="27C70179" w14:textId="77777777" w:rsidR="0052319B" w:rsidRDefault="0052319B" w:rsidP="00DF2A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25"/>
    <w:rsid w:val="0006093F"/>
    <w:rsid w:val="00077129"/>
    <w:rsid w:val="00085655"/>
    <w:rsid w:val="001D6825"/>
    <w:rsid w:val="002158DE"/>
    <w:rsid w:val="003E5108"/>
    <w:rsid w:val="004257C5"/>
    <w:rsid w:val="004924BB"/>
    <w:rsid w:val="004E268D"/>
    <w:rsid w:val="0052319B"/>
    <w:rsid w:val="005B0531"/>
    <w:rsid w:val="0088104A"/>
    <w:rsid w:val="00977AE6"/>
    <w:rsid w:val="009D38B8"/>
    <w:rsid w:val="00B420E5"/>
    <w:rsid w:val="00B81C46"/>
    <w:rsid w:val="00B904B9"/>
    <w:rsid w:val="00D20E45"/>
    <w:rsid w:val="00DD6A30"/>
    <w:rsid w:val="00DF2A09"/>
    <w:rsid w:val="00EF7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BAE97"/>
  <w15:chartTrackingRefBased/>
  <w15:docId w15:val="{37AA3146-E52B-4754-AFCB-AD3126EA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F2A09"/>
    <w:pPr>
      <w:pBdr>
        <w:bottom w:val="single" w:sz="6" w:space="1" w:color="auto"/>
      </w:pBdr>
      <w:tabs>
        <w:tab w:val="center" w:pos="4153"/>
        <w:tab w:val="right" w:pos="8306"/>
      </w:tabs>
      <w:snapToGrid w:val="0"/>
      <w:jc w:val="center"/>
    </w:pPr>
    <w:rPr>
      <w:sz w:val="18"/>
      <w:szCs w:val="18"/>
    </w:rPr>
  </w:style>
  <w:style w:type="character" w:customStyle="1" w:styleId="NagwekZnak">
    <w:name w:val="Nagłówek Znak"/>
    <w:basedOn w:val="Domylnaczcionkaakapitu"/>
    <w:link w:val="Nagwek"/>
    <w:uiPriority w:val="99"/>
    <w:rsid w:val="00DF2A09"/>
    <w:rPr>
      <w:sz w:val="18"/>
      <w:szCs w:val="18"/>
    </w:rPr>
  </w:style>
  <w:style w:type="paragraph" w:styleId="Stopka">
    <w:name w:val="footer"/>
    <w:basedOn w:val="Normalny"/>
    <w:link w:val="StopkaZnak"/>
    <w:uiPriority w:val="99"/>
    <w:unhideWhenUsed/>
    <w:rsid w:val="00DF2A09"/>
    <w:pPr>
      <w:tabs>
        <w:tab w:val="center" w:pos="4153"/>
        <w:tab w:val="right" w:pos="8306"/>
      </w:tabs>
      <w:snapToGrid w:val="0"/>
      <w:jc w:val="left"/>
    </w:pPr>
    <w:rPr>
      <w:sz w:val="18"/>
      <w:szCs w:val="18"/>
    </w:rPr>
  </w:style>
  <w:style w:type="character" w:customStyle="1" w:styleId="StopkaZnak">
    <w:name w:val="Stopka Znak"/>
    <w:basedOn w:val="Domylnaczcionkaakapitu"/>
    <w:link w:val="Stopka"/>
    <w:uiPriority w:val="99"/>
    <w:rsid w:val="00DF2A09"/>
    <w:rPr>
      <w:sz w:val="18"/>
      <w:szCs w:val="18"/>
    </w:rPr>
  </w:style>
  <w:style w:type="paragraph" w:customStyle="1" w:styleId="1">
    <w:name w:val="标题1"/>
  </w:style>
  <w:style w:type="paragraph" w:customStyle="1" w:styleId="11">
    <w:name w:val="标题 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27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90EC2-4EA4-4DFB-815A-897544C60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19</Pages>
  <Words>6130</Words>
  <Characters>36785</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Zhiyin Guo</dc:creator>
  <cp:keywords/>
  <dc:description/>
  <cp:lastModifiedBy>Arkadiusz Modrzejewski</cp:lastModifiedBy>
  <cp:revision>9</cp:revision>
  <dcterms:created xsi:type="dcterms:W3CDTF">2026-06-14T15:02:00Z</dcterms:created>
  <dcterms:modified xsi:type="dcterms:W3CDTF">2026-10-10T09:48:00Z</dcterms:modified>
</cp:coreProperties>
</file>